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C8AA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НАУКОВІ ПРАЦІ ЗДОБУВАЧІВ ВИЩОЇ ОСВІТИ ОС МАГІСТР 131 СПЕЦІАЛЬНОСТІ В СПІВАВТОРСТВІ</w:t>
      </w:r>
    </w:p>
    <w:p w14:paraId="1A237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1509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ПІП здобувачів вищої освіти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позначено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напівжирним шрифтом)</w:t>
      </w:r>
    </w:p>
    <w:p w14:paraId="494E7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B49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2023 рік</w:t>
      </w:r>
    </w:p>
    <w:p w14:paraId="2C4B19E4">
      <w:pPr>
        <w:pStyle w:val="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O.A. Ilina, O.O. Mikosianchyk, R.H. Mnatsakanov, R.E. Kostyunik,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P. Yashchuk,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M. A. Shteinyk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Mechanisms of formation of wear-resistant dissipative structures in nonstationary lubrication conditions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Problems of Tribology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2023 V. 28, No 3/109, 49-55 DOI: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"https://doi.org/10.31891/2079-1372-2023-109-3-49-55" </w:instrText>
      </w:r>
      <w:r>
        <w:rPr>
          <w:sz w:val="24"/>
          <w:szCs w:val="24"/>
        </w:rP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https://doi.org/10.31891/2079-1372-2023-109-3-49-55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категорія 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8350368">
      <w:pPr>
        <w:pStyle w:val="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7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О. О. Мікосянчик, Є. В. Педан, Р. Г. Мнацаканов, А. М. Хімко, С. Ю. Богдан,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К. С. Чава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Аналіз моделей та методів оцінки міцністних характеристик полімерних композиційних матеріалів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Проблеми тертя та зношування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Problems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friction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wear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2023, 3 (100). С.15-29 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instrText xml:space="preserve"> HYPERLINK "https://doi.org/10.18372/0370-2197.3(100).17891" </w:instrTex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://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doi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/10.18372/0370-2197.3(100).17891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Style w:val="7"/>
          <w:rFonts w:ascii="Times New Roman" w:hAnsi="Times New Roman" w:cs="Times New Roman"/>
          <w:color w:val="008ACB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категорія 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E12BC62">
      <w:pPr>
        <w:pStyle w:val="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Якобчук О. Є., Юцкевич С. С.,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Кисельова Т.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Якобчук І. О., Сидоренко К. О. Статистичний аналіз результатів дослідження триботехнічних характеристик мастильних матеріалів при терті.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Проблеми тертя та зношування.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2023. № 4 (101). С. 84–96. </w:t>
      </w:r>
      <w:r>
        <w:rPr>
          <w:rFonts w:ascii="Times New Roman" w:hAnsi="Times New Roman" w:cs="Times New Roman"/>
          <w:sz w:val="24"/>
          <w:szCs w:val="24"/>
        </w:rPr>
        <w:t>DOI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10.18372/0370-2197.4(101).18082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"https://jrnl.nau.edu.ua/index.php/PTZ/article/view/18082" </w:instrText>
      </w:r>
      <w:r>
        <w:rPr>
          <w:sz w:val="24"/>
          <w:szCs w:val="24"/>
        </w:rP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https://jrnl.nau.edu.ua/index.php/PTZ/article/view/18082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категорія Б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ED4144C">
      <w:pPr>
        <w:pStyle w:val="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В.О. Повгородній,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О.В. Лелюшок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властивостей композитів шляхом вирішення прямої та оберненої задач термопружності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Проблеми тертя та зношування,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2023, 4 (101). С. 19-28. 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instrText xml:space="preserve"> HYPERLINK "https://doi.org/10.18372/0370-2197.4(101).18076" </w:instrTex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://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doi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/10.18372/0370-2197.4(101).18076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Style w:val="7"/>
          <w:rFonts w:ascii="Times New Roman" w:hAnsi="Times New Roman" w:cs="Times New Roman"/>
          <w:color w:val="008ACB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категорія Б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6DC0039">
      <w:pPr>
        <w:pStyle w:val="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Мельник  В.Б., Л</w:t>
      </w:r>
      <w:r>
        <w:rPr>
          <w:rFonts w:ascii="Times New Roman" w:hAnsi="Times New Roman" w:eastAsia="Times New Roman" w:cs="Times New Roman"/>
          <w:sz w:val="24"/>
          <w:szCs w:val="24"/>
          <w:lang w:val="zh-CN"/>
        </w:rPr>
        <w:t>еусенко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Д.В., 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Мамай Б.М.</w:t>
      </w:r>
      <w:r>
        <w:rPr>
          <w:rFonts w:ascii="Times New Roman" w:hAnsi="Times New Roman" w:eastAsia="Calibri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Оцінка ефективності масляної дії олив з карбонофторидними присадками при нестаціонарних режимах тертя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Проблеми тертя та зношування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. 2023.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Вип. № 4(101). С. 29-41.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"https://doi.org/10.18372/0370-2197.4(101).18080"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/>
        </w:rPr>
        <w:t>https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uk-UA"/>
        </w:rPr>
        <w:t>://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/>
        </w:rPr>
        <w:t>doi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/>
        </w:rPr>
        <w:t>org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uk-UA"/>
        </w:rPr>
        <w:t>/10.18372/0370-2197.4(101).18080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uk-UA"/>
        </w:rPr>
        <w:fldChar w:fldCharType="end"/>
      </w:r>
      <w:bookmarkStart w:id="0" w:name="_Hlk151468769"/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видання, категорія 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787A6E1B">
      <w:pPr>
        <w:pStyle w:val="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Кіндрачук М.В., Мельник В.Б., Леусенко Д.В., 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Герасимов В.О.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Вибір редукторних олив за фізико-хімічними характеристиками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</w:t>
      </w:r>
      <w:bookmarkEnd w:id="0"/>
      <w:r>
        <w:rPr>
          <w:rFonts w:ascii="Times New Roman" w:hAnsi="Times New Roman" w:eastAsia="Times New Roman" w:cs="Times New Roman"/>
          <w:i/>
          <w:iCs/>
          <w:sz w:val="24"/>
          <w:szCs w:val="24"/>
          <w:lang w:val="uk-UA"/>
        </w:rPr>
        <w:t>Проблеми тертя та зношуван</w:t>
      </w:r>
      <w:bookmarkStart w:id="2" w:name="_GoBack"/>
      <w:bookmarkEnd w:id="2"/>
      <w:r>
        <w:rPr>
          <w:rFonts w:ascii="Times New Roman" w:hAnsi="Times New Roman" w:eastAsia="Times New Roman" w:cs="Times New Roman"/>
          <w:i/>
          <w:iCs/>
          <w:sz w:val="24"/>
          <w:szCs w:val="24"/>
          <w:lang w:val="uk-UA"/>
        </w:rPr>
        <w:t>ня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. 2023.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Вип. № 3(100). С. 30-39.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"https://doi.org/10.18372/0370-2197.3(100).17891"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/>
        </w:rPr>
        <w:t>https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uk-UA"/>
        </w:rPr>
        <w:t>://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/>
        </w:rPr>
        <w:t>doi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/>
        </w:rPr>
        <w:t>org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uk-UA"/>
        </w:rPr>
        <w:t>/10.18372/0370-2197.3(100).17891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uk-UA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видання, категорія 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D95782B">
      <w:pPr>
        <w:tabs>
          <w:tab w:val="left" w:pos="851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val="uk-UA"/>
        </w:rPr>
      </w:pPr>
    </w:p>
    <w:p w14:paraId="3752A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14:paraId="02AB4A78">
      <w:pPr>
        <w:pStyle w:val="8"/>
        <w:numPr>
          <w:numId w:val="0"/>
        </w:numPr>
        <w:spacing w:after="0" w:line="240" w:lineRule="auto"/>
        <w:ind w:left="660" w:leftChars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yellow"/>
          <w:lang w:val="uk-UA"/>
        </w:rPr>
        <w:t>2024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Рік</w:t>
      </w:r>
    </w:p>
    <w:p w14:paraId="467A1D9B">
      <w:pPr>
        <w:pStyle w:val="8"/>
        <w:spacing w:after="0" w:line="240" w:lineRule="auto"/>
        <w:ind w:left="118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C29C2F">
      <w:pPr>
        <w:numPr>
          <w:ilvl w:val="0"/>
          <w:numId w:val="2"/>
        </w:numPr>
        <w:spacing w:after="0" w:line="240" w:lineRule="auto"/>
        <w:ind w:left="0" w:leftChars="0" w:firstLine="660" w:firstLineChars="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Мельник В.Б., Радько О.В., Якіменко І.М.,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Василик М.В.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 рівня послуг в організації з технічного обслуговування авіатехніки за груповими показниками якості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 w:eastAsiaTheme="minorEastAsia"/>
          <w:i/>
          <w:sz w:val="24"/>
          <w:szCs w:val="24"/>
          <w:lang w:val="uk-UA" w:eastAsia="ru-RU" w:bidi="ar-SA"/>
        </w:rPr>
        <w:t>Проблеми тертя та зношування.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2024. Вип. № 1(102). С. 62-72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"https://doi.org/10.18372/0370-2197.1(102).18435" </w:instrText>
      </w:r>
      <w:r>
        <w:rPr>
          <w:sz w:val="24"/>
          <w:szCs w:val="24"/>
        </w:rP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https://doi.org/10.18372/0370-2197.1(102).</w:t>
      </w:r>
      <w:r>
        <w:rPr>
          <w:rStyle w:val="7"/>
          <w:rFonts w:hint="default" w:ascii="Times New Roman" w:hAnsi="Times New Roman" w:cs="Times New Roman"/>
          <w:sz w:val="24"/>
          <w:szCs w:val="24"/>
          <w:lang w:val="uk-UA" w:eastAsia="zh-CN"/>
        </w:rPr>
        <w:t>18430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Style w:val="7"/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видання, категорія 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A086BC2">
      <w:pPr>
        <w:numPr>
          <w:numId w:val="0"/>
        </w:numPr>
        <w:spacing w:after="0" w:line="240" w:lineRule="auto"/>
        <w:ind w:leftChars="2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770E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660" w:firstLineChars="275"/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Харченко В.В., Гуменюк І.А., Корнієнко А.О.,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Іваницький М.С.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Комбіновані методи інженерії контактних поверхонь трибологічних систем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 xml:space="preserve"> </w:t>
      </w:r>
      <w:bookmarkStart w:id="1" w:name="_Hlk167443964"/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/>
        </w:rPr>
        <w:t>Проблеми тертя та зношування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 xml:space="preserve">. 2024. Вип. № 1(102). С. 23-27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"https://doi.org/10.18372/0370-2197.1(102).18435" </w:instrText>
      </w:r>
      <w:r>
        <w:rPr>
          <w:sz w:val="24"/>
          <w:szCs w:val="24"/>
        </w:rPr>
        <w:fldChar w:fldCharType="separate"/>
      </w:r>
      <w:r>
        <w:rPr>
          <w:rStyle w:val="7"/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https</w:t>
      </w:r>
      <w:r>
        <w:rPr>
          <w:rStyle w:val="7"/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/>
        </w:rPr>
        <w:t>://</w:t>
      </w:r>
      <w:r>
        <w:rPr>
          <w:rStyle w:val="7"/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doi</w:t>
      </w:r>
      <w:r>
        <w:rPr>
          <w:rStyle w:val="7"/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Style w:val="7"/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org</w:t>
      </w:r>
      <w:r>
        <w:rPr>
          <w:rStyle w:val="7"/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/>
        </w:rPr>
        <w:t>/10.18372/0370-2197.1(102).184</w:t>
      </w:r>
      <w:r>
        <w:rPr>
          <w:rStyle w:val="7"/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/>
        </w:rPr>
        <w:t>1</w:t>
      </w:r>
      <w:r>
        <w:rPr>
          <w:rStyle w:val="7"/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/>
        </w:rPr>
        <w:fldChar w:fldCharType="end"/>
      </w:r>
      <w:r>
        <w:rPr>
          <w:rStyle w:val="7"/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видання, категорія 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34D44431">
      <w:pPr>
        <w:tabs>
          <w:tab w:val="left" w:pos="993"/>
        </w:tabs>
        <w:spacing w:after="0" w:line="240" w:lineRule="auto"/>
        <w:ind w:left="0" w:leftChars="0" w:firstLine="660" w:firstLineChars="275"/>
        <w:rPr>
          <w:rFonts w:ascii="Times New Roman" w:hAnsi="Times New Roman" w:cs="Times New Roman"/>
          <w:sz w:val="24"/>
          <w:szCs w:val="24"/>
          <w:lang w:val="uk-UA"/>
        </w:rPr>
      </w:pPr>
    </w:p>
    <w:bookmarkEnd w:id="1"/>
    <w:p w14:paraId="0FC91E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660" w:firstLineChars="275"/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O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uk-UA" w:eastAsia="zh-CN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Breshev, P.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uk-UA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Nosko, O.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uk-UA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Bashta, A.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uk-UA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Bashta, 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M.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uk-UA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Radko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uk-UA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uk-UA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uk-UA"/>
        </w:rPr>
        <w:instrText xml:space="preserve"> HYPERLINK "https://jrnl.nau.edu.ua/index.php/PTZ/article/view/18433" </w:instrTex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uk-UA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uk-UA"/>
        </w:rPr>
        <w:t>tudy of the dynamics of spindle shaft on gas-static bearings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uk-UA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 xml:space="preserve">, </w:t>
      </w:r>
      <w:r>
        <w:rPr>
          <w:rFonts w:hint="default" w:ascii="Times New Roman" w:hAnsi="Times New Roman" w:cs="Times New Roman"/>
          <w:i/>
          <w:iCs/>
          <w:sz w:val="24"/>
          <w:szCs w:val="24"/>
          <w:highlight w:val="none"/>
          <w:lang w:val="en-US"/>
        </w:rPr>
        <w:fldChar w:fldCharType="begin"/>
      </w:r>
      <w:r>
        <w:rPr>
          <w:rFonts w:hint="default" w:ascii="Times New Roman" w:hAnsi="Times New Roman" w:cs="Times New Roman"/>
          <w:i/>
          <w:iCs/>
          <w:sz w:val="24"/>
          <w:szCs w:val="24"/>
          <w:highlight w:val="none"/>
          <w:lang w:val="en-US"/>
        </w:rPr>
        <w:instrText xml:space="preserve"> HYPERLINK "https://jrnl.nau.edu.ua/index.php/PTZ/index" </w:instrText>
      </w:r>
      <w:r>
        <w:rPr>
          <w:rFonts w:hint="default" w:ascii="Times New Roman" w:hAnsi="Times New Roman" w:cs="Times New Roman"/>
          <w:i/>
          <w:iCs/>
          <w:sz w:val="24"/>
          <w:szCs w:val="24"/>
          <w:highlight w:val="none"/>
          <w:lang w:val="en-US"/>
        </w:rPr>
        <w:fldChar w:fldCharType="separate"/>
      </w:r>
      <w:r>
        <w:rPr>
          <w:rFonts w:hint="default" w:ascii="Times New Roman" w:hAnsi="Times New Roman" w:cs="Times New Roman"/>
          <w:i/>
          <w:iCs/>
          <w:sz w:val="24"/>
          <w:szCs w:val="24"/>
          <w:highlight w:val="none"/>
          <w:lang w:val="en-US"/>
        </w:rPr>
        <w:t>Problems of Friction and Wear</w:t>
      </w:r>
      <w:r>
        <w:rPr>
          <w:rFonts w:hint="default" w:ascii="Times New Roman" w:hAnsi="Times New Roman" w:cs="Times New Roman"/>
          <w:i/>
          <w:iCs/>
          <w:sz w:val="24"/>
          <w:szCs w:val="24"/>
          <w:highlight w:val="none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>Vol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 xml:space="preserve"> 1(102) (2024). -pp.91-100. </w:t>
      </w:r>
      <w:r>
        <w:rPr>
          <w:rStyle w:val="7"/>
          <w:rFonts w:hint="default" w:ascii="Times New Roman" w:hAnsi="Times New Roman" w:eastAsia="Times New Roman"/>
          <w:sz w:val="24"/>
          <w:szCs w:val="24"/>
          <w:shd w:val="clear" w:color="auto" w:fill="FFFFFF"/>
        </w:rPr>
        <w:fldChar w:fldCharType="begin"/>
      </w:r>
      <w:r>
        <w:rPr>
          <w:rStyle w:val="7"/>
          <w:rFonts w:hint="default" w:ascii="Times New Roman" w:hAnsi="Times New Roman" w:eastAsia="Times New Roman"/>
          <w:sz w:val="24"/>
          <w:szCs w:val="24"/>
          <w:shd w:val="clear" w:color="auto" w:fill="FFFFFF"/>
        </w:rPr>
        <w:instrText xml:space="preserve"> HYPERLINK "https://doi.org/10.18372/0370-2197.1(102).18433" </w:instrText>
      </w:r>
      <w:r>
        <w:rPr>
          <w:rStyle w:val="7"/>
          <w:rFonts w:hint="default" w:ascii="Times New Roman" w:hAnsi="Times New Roman" w:eastAsia="Times New Roman"/>
          <w:sz w:val="24"/>
          <w:szCs w:val="24"/>
          <w:shd w:val="clear" w:color="auto" w:fill="FFFFFF"/>
        </w:rPr>
        <w:fldChar w:fldCharType="separate"/>
      </w:r>
      <w:r>
        <w:rPr>
          <w:rStyle w:val="7"/>
          <w:rFonts w:hint="default" w:ascii="Times New Roman" w:hAnsi="Times New Roman" w:eastAsia="Times New Roman"/>
          <w:sz w:val="24"/>
          <w:szCs w:val="24"/>
          <w:shd w:val="clear" w:color="auto" w:fill="FFFFFF"/>
        </w:rPr>
        <w:t>https://doi.org/10.18372/0370-2197.1(102).18433</w:t>
      </w:r>
      <w:r>
        <w:rPr>
          <w:rStyle w:val="7"/>
          <w:rFonts w:hint="default" w:ascii="Times New Roman" w:hAnsi="Times New Roman" w:eastAsia="Times New Roman"/>
          <w:sz w:val="24"/>
          <w:szCs w:val="24"/>
          <w:shd w:val="clear" w:color="auto" w:fill="FFFFFF"/>
        </w:rPr>
        <w:fldChar w:fldCharType="end"/>
      </w:r>
      <w:r>
        <w:rPr>
          <w:rStyle w:val="7"/>
          <w:rFonts w:hint="default" w:ascii="Times New Roman" w:hAnsi="Times New Roman" w:eastAsia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видання, категорія 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462D3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00A076">
      <w:pPr>
        <w:tabs>
          <w:tab w:val="left" w:pos="6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>
      <w:pgSz w:w="11906" w:h="16838"/>
      <w:pgMar w:top="1134" w:right="991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A7A4C"/>
    <w:multiLevelType w:val="multilevel"/>
    <w:tmpl w:val="873A7A4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2488"/>
    <w:multiLevelType w:val="multilevel"/>
    <w:tmpl w:val="0BCF24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4A32F6"/>
    <w:rsid w:val="00014446"/>
    <w:rsid w:val="0004618D"/>
    <w:rsid w:val="00056D16"/>
    <w:rsid w:val="000D0CA3"/>
    <w:rsid w:val="000E0C13"/>
    <w:rsid w:val="001A58D3"/>
    <w:rsid w:val="001B1C96"/>
    <w:rsid w:val="001D502A"/>
    <w:rsid w:val="00374BB1"/>
    <w:rsid w:val="00393AA4"/>
    <w:rsid w:val="003B312A"/>
    <w:rsid w:val="00405DE9"/>
    <w:rsid w:val="004A1F98"/>
    <w:rsid w:val="004A32F6"/>
    <w:rsid w:val="004E3415"/>
    <w:rsid w:val="00590B35"/>
    <w:rsid w:val="00620C5A"/>
    <w:rsid w:val="00640723"/>
    <w:rsid w:val="0067449A"/>
    <w:rsid w:val="006B1DD0"/>
    <w:rsid w:val="00723C8E"/>
    <w:rsid w:val="00793B79"/>
    <w:rsid w:val="007A1AE3"/>
    <w:rsid w:val="007A4E1B"/>
    <w:rsid w:val="007B08D0"/>
    <w:rsid w:val="007D2749"/>
    <w:rsid w:val="008333F0"/>
    <w:rsid w:val="00885D90"/>
    <w:rsid w:val="00904FD6"/>
    <w:rsid w:val="00945C31"/>
    <w:rsid w:val="00A842A9"/>
    <w:rsid w:val="00AE4604"/>
    <w:rsid w:val="00B42B3F"/>
    <w:rsid w:val="00B44324"/>
    <w:rsid w:val="00B522BA"/>
    <w:rsid w:val="00BD56C5"/>
    <w:rsid w:val="00C515E0"/>
    <w:rsid w:val="00CE41FC"/>
    <w:rsid w:val="00CF6CA5"/>
    <w:rsid w:val="00D44C63"/>
    <w:rsid w:val="00E35D3D"/>
    <w:rsid w:val="00E87306"/>
    <w:rsid w:val="00EC4B76"/>
    <w:rsid w:val="28B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link w:val="1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paragraph" w:styleId="6">
    <w:name w:val="endnote text"/>
    <w:basedOn w:val="1"/>
    <w:link w:val="17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value"/>
    <w:uiPriority w:val="0"/>
  </w:style>
  <w:style w:type="character" w:customStyle="1" w:styleId="10">
    <w:name w:val="jlqj4b chmk0b"/>
    <w:basedOn w:val="3"/>
    <w:uiPriority w:val="0"/>
  </w:style>
  <w:style w:type="paragraph" w:customStyle="1" w:styleId="11">
    <w:name w:val="Знак Знак Знак Знак Знак Знак"/>
    <w:basedOn w:val="1"/>
    <w:uiPriority w:val="0"/>
    <w:pPr>
      <w:spacing w:after="0" w:line="240" w:lineRule="auto"/>
    </w:pPr>
    <w:rPr>
      <w:rFonts w:ascii="Verdana" w:hAnsi="Verdana" w:eastAsia="Times New Roman" w:cs="Times New Roman"/>
      <w:sz w:val="20"/>
      <w:szCs w:val="20"/>
      <w:lang w:val="uk-UA" w:eastAsia="en-US"/>
    </w:rPr>
  </w:style>
  <w:style w:type="paragraph" w:customStyle="1" w:styleId="12">
    <w:name w:val="docdat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markedcontent"/>
    <w:basedOn w:val="3"/>
    <w:uiPriority w:val="0"/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  <w:style w:type="paragraph" w:customStyle="1" w:styleId="15">
    <w:name w:val="rvps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a0"/>
    <w:qFormat/>
    <w:uiPriority w:val="0"/>
  </w:style>
  <w:style w:type="character" w:customStyle="1" w:styleId="17">
    <w:name w:val="Текст концевой сноски Знак"/>
    <w:basedOn w:val="3"/>
    <w:link w:val="6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8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9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3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498</Words>
  <Characters>2840</Characters>
  <Lines>23</Lines>
  <Paragraphs>6</Paragraphs>
  <TotalTime>5</TotalTime>
  <ScaleCrop>false</ScaleCrop>
  <LinksUpToDate>false</LinksUpToDate>
  <CharactersWithSpaces>3332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2023-05-21T17:09:00Z</dcterms:created>
  <dc:creator>Пользователь Windows</dc:creator>
  <cp:lastModifiedBy>Олександр Башта</cp:lastModifiedBy>
  <dcterms:modified xsi:type="dcterms:W3CDTF">2024-06-04T18:12:34Z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929AD6C997AB4E5CA49D4F8BDAABB512_12</vt:lpwstr>
  </property>
</Properties>
</file>